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42F6" w14:textId="0AA09F74" w:rsidR="001C3737" w:rsidRPr="001C3737" w:rsidRDefault="001C3737" w:rsidP="00936B91">
      <w:pPr>
        <w:ind w:left="-1134" w:right="-810"/>
        <w:jc w:val="center"/>
        <w:rPr>
          <w:rFonts w:cstheme="minorHAnsi"/>
          <w:b/>
          <w:i/>
          <w:color w:val="E36C0A" w:themeColor="accent6" w:themeShade="BF"/>
          <w:sz w:val="28"/>
          <w:szCs w:val="28"/>
        </w:rPr>
      </w:pPr>
      <w:r w:rsidRPr="001C3737">
        <w:rPr>
          <w:rFonts w:cstheme="minorHAnsi"/>
          <w:b/>
          <w:i/>
          <w:color w:val="E36C0A" w:themeColor="accent6" w:themeShade="BF"/>
          <w:sz w:val="28"/>
          <w:szCs w:val="28"/>
        </w:rPr>
        <w:t>Elementi i k</w:t>
      </w:r>
      <w:r w:rsidR="00AD691E" w:rsidRPr="001C3737">
        <w:rPr>
          <w:rFonts w:cstheme="minorHAnsi"/>
          <w:b/>
          <w:i/>
          <w:color w:val="E36C0A" w:themeColor="accent6" w:themeShade="BF"/>
          <w:sz w:val="28"/>
          <w:szCs w:val="28"/>
        </w:rPr>
        <w:t>riteriji vrednovanja</w:t>
      </w:r>
    </w:p>
    <w:p w14:paraId="5C7EE075" w14:textId="0B09EB98" w:rsidR="00404CCE" w:rsidRPr="001C3737" w:rsidRDefault="001C3737" w:rsidP="00936B91">
      <w:pPr>
        <w:ind w:left="-1134" w:right="-810"/>
        <w:jc w:val="center"/>
        <w:rPr>
          <w:rFonts w:cstheme="minorHAnsi"/>
          <w:b/>
          <w:i/>
          <w:color w:val="E36C0A" w:themeColor="accent6" w:themeShade="BF"/>
          <w:sz w:val="28"/>
          <w:szCs w:val="28"/>
        </w:rPr>
      </w:pPr>
      <w:r w:rsidRPr="001C3737">
        <w:rPr>
          <w:rFonts w:cstheme="minorHAnsi"/>
          <w:b/>
          <w:i/>
          <w:color w:val="E36C0A" w:themeColor="accent6" w:themeShade="BF"/>
          <w:sz w:val="28"/>
          <w:szCs w:val="28"/>
        </w:rPr>
        <w:t>- Hrvatski jezik:  5., 6. i 7. razred</w:t>
      </w:r>
    </w:p>
    <w:p w14:paraId="2C25D400" w14:textId="4242C018" w:rsidR="001C3737" w:rsidRPr="001C3737" w:rsidRDefault="001C3737" w:rsidP="00936B91">
      <w:pPr>
        <w:ind w:left="-1134" w:right="-810"/>
        <w:rPr>
          <w:rFonts w:cstheme="minorHAnsi"/>
          <w:b/>
          <w:i/>
          <w:color w:val="E36C0A" w:themeColor="accent6" w:themeShade="BF"/>
          <w:sz w:val="28"/>
          <w:szCs w:val="28"/>
        </w:rPr>
      </w:pPr>
    </w:p>
    <w:p w14:paraId="58E40FD1" w14:textId="23B850C9" w:rsidR="001C3737" w:rsidRPr="001C3737" w:rsidRDefault="001C3737" w:rsidP="00936B91">
      <w:pPr>
        <w:ind w:left="-1134" w:right="-810"/>
        <w:rPr>
          <w:rFonts w:cstheme="minorHAnsi"/>
          <w:sz w:val="22"/>
          <w:szCs w:val="20"/>
        </w:rPr>
      </w:pPr>
      <w:r w:rsidRPr="001C3737">
        <w:rPr>
          <w:rFonts w:cstheme="minorHAnsi"/>
          <w:b/>
          <w:sz w:val="22"/>
          <w:szCs w:val="20"/>
        </w:rPr>
        <w:t>Elementi vrednovanja (predmetna područja</w:t>
      </w:r>
      <w:r w:rsidRPr="001C3737">
        <w:rPr>
          <w:rFonts w:cstheme="minorHAnsi"/>
          <w:sz w:val="22"/>
          <w:szCs w:val="20"/>
        </w:rPr>
        <w:t xml:space="preserve">): </w:t>
      </w:r>
    </w:p>
    <w:p w14:paraId="6ADA018C" w14:textId="43FA891E" w:rsidR="001C3737" w:rsidRPr="001C3737" w:rsidRDefault="001C3737" w:rsidP="00936B91">
      <w:pPr>
        <w:ind w:left="-1134" w:right="-810"/>
        <w:rPr>
          <w:rFonts w:cstheme="minorHAnsi"/>
          <w:sz w:val="22"/>
          <w:szCs w:val="20"/>
        </w:rPr>
      </w:pPr>
      <w:r w:rsidRPr="001C3737">
        <w:rPr>
          <w:rFonts w:cstheme="minorHAnsi"/>
          <w:sz w:val="22"/>
          <w:szCs w:val="20"/>
        </w:rPr>
        <w:t>- hrvatski jezik i komunikacija</w:t>
      </w:r>
    </w:p>
    <w:p w14:paraId="15D0261F" w14:textId="70FFECC2" w:rsidR="001C3737" w:rsidRPr="001C3737" w:rsidRDefault="001C3737" w:rsidP="00936B91">
      <w:pPr>
        <w:ind w:left="-1134" w:right="-810"/>
        <w:rPr>
          <w:rFonts w:cstheme="minorHAnsi"/>
          <w:sz w:val="22"/>
          <w:szCs w:val="20"/>
        </w:rPr>
      </w:pPr>
      <w:r w:rsidRPr="001C3737">
        <w:rPr>
          <w:rFonts w:cstheme="minorHAnsi"/>
          <w:sz w:val="22"/>
          <w:szCs w:val="20"/>
        </w:rPr>
        <w:t>- književnosti i stvaralaštvo</w:t>
      </w:r>
    </w:p>
    <w:p w14:paraId="252AC218" w14:textId="3F990B02" w:rsidR="001C3737" w:rsidRPr="001C3737" w:rsidRDefault="001C3737" w:rsidP="00936B91">
      <w:pPr>
        <w:ind w:left="-1134" w:right="-810"/>
        <w:rPr>
          <w:rFonts w:cstheme="minorHAnsi"/>
          <w:sz w:val="22"/>
        </w:rPr>
      </w:pPr>
      <w:r w:rsidRPr="001C3737">
        <w:rPr>
          <w:rFonts w:cstheme="minorHAnsi"/>
          <w:sz w:val="22"/>
        </w:rPr>
        <w:t>- kultura i mediji.</w:t>
      </w:r>
    </w:p>
    <w:p w14:paraId="6D482976" w14:textId="169FDE1E" w:rsidR="001C3737" w:rsidRPr="001C3737" w:rsidRDefault="001C3737" w:rsidP="00936B91">
      <w:pPr>
        <w:ind w:left="-1134" w:right="-810"/>
        <w:rPr>
          <w:rFonts w:cstheme="minorHAnsi"/>
          <w:sz w:val="22"/>
        </w:rPr>
      </w:pPr>
    </w:p>
    <w:p w14:paraId="041662DC" w14:textId="5FED378E" w:rsidR="001C3737" w:rsidRPr="001C3737" w:rsidRDefault="001C3737" w:rsidP="00936B91">
      <w:pPr>
        <w:ind w:left="-1134" w:right="-810"/>
        <w:rPr>
          <w:rFonts w:cstheme="minorHAnsi"/>
          <w:b/>
          <w:sz w:val="22"/>
        </w:rPr>
      </w:pPr>
      <w:r w:rsidRPr="001C3737">
        <w:rPr>
          <w:rFonts w:cstheme="minorHAnsi"/>
          <w:b/>
          <w:sz w:val="22"/>
        </w:rPr>
        <w:t>Hrvatski jezik i komunikacija</w:t>
      </w:r>
    </w:p>
    <w:p w14:paraId="327E9105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Predmetno područje hrvatski jezik i komunikacija temelji se na ovladavanju uporabnim mogućnostima hrvatskoga jezika u jezičnim djelatnostima slušanja, govorenja, čitanja, pisanja i međudjelovanja koje omogućuju stjecanje komunikacijske jezične kompetencije na hrvatskome standardnom jeziku.</w:t>
      </w:r>
    </w:p>
    <w:p w14:paraId="39A0E80C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Predmetno područje obuhvaća stjecanje:</w:t>
      </w:r>
    </w:p>
    <w:p w14:paraId="3F5B242E" w14:textId="5B78AC5B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jezične, uporabne, strategijske i društveno</w:t>
      </w:r>
      <w:r w:rsidR="00D91A79">
        <w:rPr>
          <w:rFonts w:cstheme="minorHAnsi"/>
          <w:sz w:val="22"/>
        </w:rPr>
        <w:t>-</w:t>
      </w:r>
      <w:r w:rsidRPr="00144C44">
        <w:rPr>
          <w:rFonts w:cstheme="minorHAnsi"/>
          <w:sz w:val="22"/>
        </w:rPr>
        <w:t>jezične kompetencije</w:t>
      </w:r>
    </w:p>
    <w:p w14:paraId="4588272B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vještina komunikacije i suradnje s drugima u različitim kontekstima, medijima i komunikacijskim situacijama</w:t>
      </w:r>
    </w:p>
    <w:p w14:paraId="039E226C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komunikacijskih strategija radi razumijevanja i stvaranja teksta na temelju prije stečenoga znanja i učenja</w:t>
      </w:r>
    </w:p>
    <w:p w14:paraId="33AB55D3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sposobnosti pomnoga čitanja obavijesnih i književnih tekstova, sposobnosti analize i interpretacije teksta te razumijevanja konteksta i značenjskih slojeva</w:t>
      </w:r>
    </w:p>
    <w:p w14:paraId="0AD7710F" w14:textId="77777777" w:rsidR="00144C44" w:rsidRP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kompetencije stvaranja tekstova različitih vrsta i funkcionalnih stilova</w:t>
      </w:r>
    </w:p>
    <w:p w14:paraId="2E054608" w14:textId="77777777" w:rsidR="00144C44" w:rsidRDefault="00144C44" w:rsidP="00936B91">
      <w:pPr>
        <w:ind w:left="-1134" w:right="-810"/>
        <w:jc w:val="both"/>
        <w:rPr>
          <w:rFonts w:cstheme="minorHAnsi"/>
          <w:sz w:val="22"/>
        </w:rPr>
      </w:pPr>
      <w:r w:rsidRPr="00144C44">
        <w:rPr>
          <w:rFonts w:cstheme="minorHAnsi"/>
          <w:sz w:val="22"/>
        </w:rPr>
        <w:t>– svijesti o sebi kao osobi koja izgrađuje, poštuje i izražava vlastiti (jezični) identitet te poštuje identitet drugih u okviru jezične i kulturno-jezične govorne zajednice.</w:t>
      </w:r>
    </w:p>
    <w:p w14:paraId="45034CE3" w14:textId="77777777" w:rsidR="00144C44" w:rsidRDefault="00144C44" w:rsidP="00936B91">
      <w:pPr>
        <w:ind w:left="-1134" w:right="-810"/>
        <w:jc w:val="both"/>
        <w:rPr>
          <w:rFonts w:cstheme="minorHAnsi"/>
          <w:b/>
          <w:sz w:val="22"/>
        </w:rPr>
      </w:pPr>
    </w:p>
    <w:p w14:paraId="66FE9F58" w14:textId="1B5C750E" w:rsidR="001C3737" w:rsidRPr="001C3737" w:rsidRDefault="001C3737" w:rsidP="00936B91">
      <w:pPr>
        <w:ind w:left="-1134" w:right="-810"/>
        <w:jc w:val="both"/>
        <w:rPr>
          <w:rFonts w:cstheme="minorHAnsi"/>
          <w:b/>
          <w:sz w:val="22"/>
        </w:rPr>
      </w:pPr>
      <w:r w:rsidRPr="001C3737">
        <w:rPr>
          <w:rFonts w:cstheme="minorHAnsi"/>
          <w:b/>
          <w:sz w:val="22"/>
        </w:rPr>
        <w:t>Književnost i stvaralaštvo</w:t>
      </w:r>
    </w:p>
    <w:p w14:paraId="61F41968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Predmetno područje književnost i stvaralaštvo temelji se na razumijevanju književnosti kao umjetnosti riječi i osobite uporabe jezika. Književni je tekst umjetnička i društvena tvorevina koja ima osobnu, nacionalnu, kulturnu, društvenu i estetsku vrijednost. Kao stvaralačka jezična djelatnost, književnost je sastavni dio svakodnevnoga života.</w:t>
      </w:r>
    </w:p>
    <w:p w14:paraId="77D82256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Predmetno područje obuhvaća:</w:t>
      </w:r>
    </w:p>
    <w:p w14:paraId="54518128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razumijevanje, interpretaciju i vrednovanje književnoga teksta radi osobnoga razvoja, stjecanja i razvijanja znanja i stavova te vlastitoga stvaralaštva</w:t>
      </w:r>
    </w:p>
    <w:p w14:paraId="6052403D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razumijevanje stvaralačke i umjetničke uloge jezika i njegova kulturnoga značenja</w:t>
      </w:r>
    </w:p>
    <w:p w14:paraId="4F89B80F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stjecanje književnoteorijskih i književnopovijesnih znanja te uvida u reprezentativne tekstove hrvatske i svjetske književnosti radi razvoja stvaralačkoga i kritičkog mišljenja o književnome tekstu te proširivanja vlastitoga iskustva čitanja</w:t>
      </w:r>
    </w:p>
    <w:p w14:paraId="170C80FF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povezivanje jezičnih djelatnosti, aktivne uporabe rječnika i stečenoga znanja radi dubokoga i asocijativnog razumijevanja teksta</w:t>
      </w:r>
    </w:p>
    <w:p w14:paraId="5E187228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potrebu za čitanjem književnih tekstova i pozitivan stav prema čitanju iz potrebe i užitka</w:t>
      </w:r>
    </w:p>
    <w:p w14:paraId="37F78CD7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 xml:space="preserve">– osobni i nacionalni identitet te razumijevanje </w:t>
      </w:r>
      <w:proofErr w:type="spellStart"/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općekulturnoga</w:t>
      </w:r>
      <w:proofErr w:type="spellEnd"/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 xml:space="preserve"> nasljeđa</w:t>
      </w:r>
    </w:p>
    <w:p w14:paraId="520037E6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razvoj kreativne verbalne i neverbalne komunikacije</w:t>
      </w:r>
    </w:p>
    <w:p w14:paraId="34DBFF58" w14:textId="3F585CB3" w:rsidR="001C3737" w:rsidRDefault="00144C44" w:rsidP="00936B91">
      <w:pPr>
        <w:ind w:left="-1134" w:right="-810"/>
        <w:jc w:val="both"/>
        <w:rPr>
          <w:rFonts w:eastAsia="Times New Roman" w:cstheme="minorHAnsi"/>
          <w:color w:val="231F20"/>
          <w:sz w:val="22"/>
          <w:shd w:val="clear" w:color="auto" w:fill="FFFFFF"/>
        </w:rPr>
      </w:pPr>
      <w:r w:rsidRPr="00144C44">
        <w:rPr>
          <w:rFonts w:eastAsia="Times New Roman" w:cstheme="minorHAnsi"/>
          <w:color w:val="231F20"/>
          <w:sz w:val="22"/>
          <w:shd w:val="clear" w:color="auto" w:fill="FFFFFF"/>
        </w:rPr>
        <w:t>– stvaralačko izražavanje potaknuto različitim iskustvima i doživljajima književnoga teksta.</w:t>
      </w:r>
    </w:p>
    <w:p w14:paraId="3BE924C8" w14:textId="7A34D9C1" w:rsidR="00144C44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</w:p>
    <w:p w14:paraId="5304F5DF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b/>
          <w:sz w:val="22"/>
        </w:rPr>
      </w:pPr>
      <w:r w:rsidRPr="00144C44">
        <w:rPr>
          <w:rFonts w:eastAsia="Times New Roman" w:cstheme="minorHAnsi"/>
          <w:b/>
          <w:sz w:val="22"/>
        </w:rPr>
        <w:t>Kultura i mediji</w:t>
      </w:r>
    </w:p>
    <w:p w14:paraId="7D2F9E79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  <w:r w:rsidRPr="00144C44">
        <w:rPr>
          <w:rFonts w:eastAsia="Times New Roman" w:cstheme="minorHAnsi"/>
          <w:sz w:val="22"/>
        </w:rPr>
        <w:t>Predmetno područje kultura i mediji temelji se na razumijevanju teksta u različitim društvenim, kulturnim i međukulturnim kontekstima. Predmetnim se područjem potiče razvoj znanja o sebi i drugima, uvažavanje različitih uvjerenja i vrijednosti te se omogućuje djelovanje u društvenoj zajednici.</w:t>
      </w:r>
    </w:p>
    <w:p w14:paraId="69A53F5F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  <w:r w:rsidRPr="00144C44">
        <w:rPr>
          <w:rFonts w:eastAsia="Times New Roman" w:cstheme="minorHAnsi"/>
          <w:sz w:val="22"/>
        </w:rPr>
        <w:t>Predmetno područje obuhvaća:</w:t>
      </w:r>
    </w:p>
    <w:p w14:paraId="6FD23CB2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  <w:r w:rsidRPr="00144C44">
        <w:rPr>
          <w:rFonts w:eastAsia="Times New Roman" w:cstheme="minorHAnsi"/>
          <w:sz w:val="22"/>
        </w:rPr>
        <w:t>– kritički odnos prema medijskim porukama, razumijevanje utjecaja medija i njihovih poruka na društvo i pojedinca; stvaranje medijskih poruka i njihovo odgovorno odašiljanje</w:t>
      </w:r>
    </w:p>
    <w:p w14:paraId="21BC16FD" w14:textId="77777777" w:rsidR="00144C44" w:rsidRPr="00144C44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  <w:r w:rsidRPr="00144C44">
        <w:rPr>
          <w:rFonts w:eastAsia="Times New Roman" w:cstheme="minorHAnsi"/>
          <w:sz w:val="22"/>
        </w:rPr>
        <w:t>– razumijevanje kulture s gledišta svakodnevnoga života, s društvenoga gledišta, kulture u odnosu na popularnu kulturu i kulture u odnosu prema književnosti i ostalim umjetnostima te utjecaj kulture na oblikovanje vlastitoga kulturnog identiteta</w:t>
      </w:r>
    </w:p>
    <w:p w14:paraId="5892BDCB" w14:textId="43CBEA39" w:rsidR="00144C44" w:rsidRPr="001C3737" w:rsidRDefault="00144C44" w:rsidP="00936B91">
      <w:pPr>
        <w:ind w:left="-1134" w:right="-810"/>
        <w:jc w:val="both"/>
        <w:rPr>
          <w:rFonts w:eastAsia="Times New Roman" w:cstheme="minorHAnsi"/>
          <w:sz w:val="22"/>
        </w:rPr>
      </w:pPr>
      <w:r w:rsidRPr="00144C44">
        <w:rPr>
          <w:rFonts w:eastAsia="Times New Roman" w:cstheme="minorHAnsi"/>
          <w:sz w:val="22"/>
        </w:rPr>
        <w:t>– poticanje svjesnosti o jedinstvenosti i vrijednosti različitih mišljenja, stavova i ideja, društava i kultura radi uspješne komunikacije te razumijevanja drugih i drukčijih.</w:t>
      </w:r>
    </w:p>
    <w:p w14:paraId="77BC1EBD" w14:textId="77777777" w:rsidR="00B81412" w:rsidRDefault="00B81412" w:rsidP="00936B91">
      <w:pPr>
        <w:ind w:left="-1134" w:right="-810"/>
        <w:jc w:val="both"/>
        <w:rPr>
          <w:rFonts w:cstheme="minorHAnsi"/>
          <w:sz w:val="22"/>
        </w:rPr>
      </w:pPr>
    </w:p>
    <w:p w14:paraId="628C8426" w14:textId="77777777" w:rsidR="00B81412" w:rsidRDefault="00B81412" w:rsidP="00936B91">
      <w:pPr>
        <w:ind w:left="-1134" w:right="-810"/>
        <w:jc w:val="both"/>
        <w:rPr>
          <w:rFonts w:cstheme="minorHAnsi"/>
          <w:sz w:val="22"/>
        </w:rPr>
      </w:pPr>
    </w:p>
    <w:p w14:paraId="50BDCFE4" w14:textId="77777777" w:rsidR="00B81412" w:rsidRDefault="00B81412" w:rsidP="00936B91">
      <w:pPr>
        <w:ind w:left="-1134" w:right="-810"/>
        <w:jc w:val="both"/>
        <w:rPr>
          <w:rFonts w:cstheme="minorHAnsi"/>
          <w:sz w:val="22"/>
        </w:rPr>
      </w:pPr>
    </w:p>
    <w:p w14:paraId="5514F8EA" w14:textId="77777777" w:rsidR="00D64F71" w:rsidRDefault="00D64F71">
      <w:pPr>
        <w:spacing w:after="200" w:line="276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299786D2" w14:textId="6A2CD5DA" w:rsidR="001C3737" w:rsidRPr="00B81412" w:rsidRDefault="00271541" w:rsidP="00936B91">
      <w:pPr>
        <w:ind w:left="-1134" w:right="-810"/>
        <w:jc w:val="both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>Praćenje i provjeravanje razine</w:t>
      </w:r>
      <w:r w:rsidR="00B035B1" w:rsidRPr="00B81412">
        <w:rPr>
          <w:rFonts w:cstheme="minorHAnsi"/>
          <w:b/>
          <w:sz w:val="22"/>
        </w:rPr>
        <w:t xml:space="preserve"> usvojenosti obrazovnih ishoda</w:t>
      </w:r>
    </w:p>
    <w:p w14:paraId="5E6D419B" w14:textId="6C8C4843" w:rsidR="00936B91" w:rsidRDefault="00936B91" w:rsidP="00936B91">
      <w:pPr>
        <w:ind w:left="-1134" w:right="-81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Pr="005A637D">
        <w:rPr>
          <w:rFonts w:cstheme="minorHAnsi"/>
          <w:b/>
          <w:sz w:val="22"/>
        </w:rPr>
        <w:t>usmene provjere</w:t>
      </w:r>
      <w:r>
        <w:rPr>
          <w:rFonts w:cstheme="minorHAnsi"/>
          <w:sz w:val="22"/>
        </w:rPr>
        <w:t xml:space="preserve"> (sa ili bez najave, mogu se provoditi na svakom satu</w:t>
      </w:r>
      <w:r w:rsidR="00271541">
        <w:rPr>
          <w:rFonts w:cstheme="minorHAnsi"/>
          <w:sz w:val="22"/>
        </w:rPr>
        <w:t>, kontinuirano tijekom nastavne godine</w:t>
      </w:r>
      <w:r>
        <w:rPr>
          <w:rFonts w:cstheme="minorHAnsi"/>
          <w:sz w:val="22"/>
        </w:rPr>
        <w:t>)</w:t>
      </w:r>
    </w:p>
    <w:p w14:paraId="207ABA24" w14:textId="77777777" w:rsidR="00936B91" w:rsidRDefault="00936B91" w:rsidP="00936B91">
      <w:pPr>
        <w:ind w:left="-1134" w:right="-81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Pr="005A637D">
        <w:rPr>
          <w:rFonts w:cstheme="minorHAnsi"/>
          <w:b/>
          <w:sz w:val="22"/>
        </w:rPr>
        <w:t>predstavljanje djela za cjelovito čitanje</w:t>
      </w:r>
      <w:r>
        <w:rPr>
          <w:rFonts w:cstheme="minorHAnsi"/>
          <w:sz w:val="22"/>
        </w:rPr>
        <w:t xml:space="preserve"> (na satu lektire kroz različite aktivnosti)</w:t>
      </w:r>
    </w:p>
    <w:p w14:paraId="07B8DEB7" w14:textId="5B7370B4" w:rsidR="004A001C" w:rsidRDefault="004A001C" w:rsidP="00936B91">
      <w:pPr>
        <w:ind w:left="-1134" w:right="-81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Pr="005A637D">
        <w:rPr>
          <w:rFonts w:cstheme="minorHAnsi"/>
          <w:b/>
          <w:sz w:val="22"/>
        </w:rPr>
        <w:t>pisane provjere</w:t>
      </w:r>
      <w:r>
        <w:rPr>
          <w:rFonts w:cstheme="minorHAnsi"/>
          <w:sz w:val="22"/>
        </w:rPr>
        <w:t xml:space="preserve"> (prema godišnjem izvedbenom </w:t>
      </w:r>
      <w:proofErr w:type="spellStart"/>
      <w:r>
        <w:rPr>
          <w:rFonts w:cstheme="minorHAnsi"/>
          <w:sz w:val="22"/>
        </w:rPr>
        <w:t>kurikulu</w:t>
      </w:r>
      <w:proofErr w:type="spellEnd"/>
      <w:r>
        <w:rPr>
          <w:rFonts w:cstheme="minorHAnsi"/>
          <w:sz w:val="22"/>
        </w:rPr>
        <w:t xml:space="preserve"> i </w:t>
      </w:r>
      <w:proofErr w:type="spellStart"/>
      <w:r>
        <w:rPr>
          <w:rFonts w:cstheme="minorHAnsi"/>
          <w:sz w:val="22"/>
        </w:rPr>
        <w:t>vr</w:t>
      </w:r>
      <w:bookmarkStart w:id="0" w:name="_GoBack"/>
      <w:bookmarkEnd w:id="0"/>
      <w:r>
        <w:rPr>
          <w:rFonts w:cstheme="minorHAnsi"/>
          <w:sz w:val="22"/>
        </w:rPr>
        <w:t>emeniku</w:t>
      </w:r>
      <w:proofErr w:type="spellEnd"/>
      <w:r>
        <w:rPr>
          <w:rFonts w:cstheme="minorHAnsi"/>
          <w:sz w:val="22"/>
        </w:rPr>
        <w:t xml:space="preserve"> pisanih provjera, unaprijed se najavljuju)</w:t>
      </w:r>
    </w:p>
    <w:p w14:paraId="131125E3" w14:textId="2E911074" w:rsidR="005A637D" w:rsidRPr="005A637D" w:rsidRDefault="004A001C" w:rsidP="00936B91">
      <w:pPr>
        <w:ind w:left="-1134" w:right="-810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- </w:t>
      </w:r>
      <w:r w:rsidR="005A637D" w:rsidRPr="005A637D">
        <w:rPr>
          <w:rFonts w:cstheme="minorHAnsi"/>
          <w:b/>
          <w:sz w:val="22"/>
        </w:rPr>
        <w:t>pisani radovi</w:t>
      </w:r>
      <w:r w:rsidR="005A637D" w:rsidRPr="005A637D">
        <w:rPr>
          <w:rFonts w:cstheme="minorHAnsi"/>
          <w:sz w:val="22"/>
        </w:rPr>
        <w:t>: školske i domaće zadaće različitih žanrova ( sastavci, zadaće vezane za lektire,</w:t>
      </w:r>
      <w:r w:rsidR="00D64F71">
        <w:rPr>
          <w:rFonts w:cstheme="minorHAnsi"/>
          <w:sz w:val="22"/>
        </w:rPr>
        <w:t xml:space="preserve"> </w:t>
      </w:r>
      <w:r w:rsidR="005A637D" w:rsidRPr="005A637D">
        <w:rPr>
          <w:rFonts w:cstheme="minorHAnsi"/>
          <w:sz w:val="22"/>
        </w:rPr>
        <w:t xml:space="preserve">plakati, </w:t>
      </w:r>
      <w:proofErr w:type="spellStart"/>
      <w:r w:rsidR="005A637D" w:rsidRPr="005A637D">
        <w:rPr>
          <w:rFonts w:cstheme="minorHAnsi"/>
          <w:sz w:val="22"/>
        </w:rPr>
        <w:t>slikokazi</w:t>
      </w:r>
      <w:proofErr w:type="spellEnd"/>
      <w:r w:rsidR="005A637D" w:rsidRPr="005A637D">
        <w:rPr>
          <w:rFonts w:cstheme="minorHAnsi"/>
          <w:sz w:val="22"/>
        </w:rPr>
        <w:t>, rasprave, problemski članci, sažetci, dnevnici, dramatizacije i sl.)</w:t>
      </w:r>
    </w:p>
    <w:p w14:paraId="63F286DE" w14:textId="77777777" w:rsidR="00D64F71" w:rsidRDefault="00D64F71" w:rsidP="00936B91">
      <w:pPr>
        <w:ind w:left="-1134" w:right="-810"/>
        <w:jc w:val="both"/>
        <w:rPr>
          <w:rFonts w:cstheme="minorHAnsi"/>
          <w:b/>
          <w:sz w:val="22"/>
        </w:rPr>
      </w:pPr>
    </w:p>
    <w:p w14:paraId="00611E4D" w14:textId="06AADD25" w:rsidR="001C3737" w:rsidRDefault="005A637D" w:rsidP="00936B91">
      <w:pPr>
        <w:ind w:left="-1134" w:right="-810"/>
        <w:jc w:val="both"/>
        <w:rPr>
          <w:rFonts w:cstheme="minorHAnsi"/>
          <w:sz w:val="22"/>
        </w:rPr>
      </w:pPr>
      <w:r w:rsidRPr="005A637D">
        <w:rPr>
          <w:rFonts w:cstheme="minorHAnsi"/>
          <w:b/>
          <w:sz w:val="22"/>
        </w:rPr>
        <w:t>Školska zadaća</w:t>
      </w:r>
      <w:r w:rsidRPr="005A637D">
        <w:rPr>
          <w:rFonts w:cstheme="minorHAnsi"/>
          <w:sz w:val="22"/>
        </w:rPr>
        <w:t xml:space="preserve"> je </w:t>
      </w:r>
      <w:r>
        <w:rPr>
          <w:rFonts w:cstheme="minorHAnsi"/>
          <w:sz w:val="22"/>
        </w:rPr>
        <w:t>pisani uradak na zadanu ili slobodnu temu</w:t>
      </w:r>
      <w:r w:rsidR="00936B91">
        <w:rPr>
          <w:rFonts w:cstheme="minorHAnsi"/>
          <w:sz w:val="22"/>
        </w:rPr>
        <w:t xml:space="preserve">. Unaprijed se najavljuje. Pišu se najmanje dvije školske zadaće u školskoj godini. Školska zadaća pokazatelj je ukupnih učenikovih jezičnih postignuća. </w:t>
      </w:r>
      <w:r w:rsidRPr="005A637D">
        <w:rPr>
          <w:rFonts w:cstheme="minorHAnsi"/>
          <w:sz w:val="22"/>
        </w:rPr>
        <w:t>Vr</w:t>
      </w:r>
      <w:r w:rsidR="00936B91">
        <w:rPr>
          <w:rFonts w:cstheme="minorHAnsi"/>
          <w:sz w:val="22"/>
        </w:rPr>
        <w:t>e</w:t>
      </w:r>
      <w:r w:rsidRPr="005A637D">
        <w:rPr>
          <w:rFonts w:cstheme="minorHAnsi"/>
          <w:sz w:val="22"/>
        </w:rPr>
        <w:t xml:space="preserve">dnuju se: </w:t>
      </w:r>
      <w:r w:rsidR="00936B91">
        <w:rPr>
          <w:rFonts w:cstheme="minorHAnsi"/>
          <w:sz w:val="22"/>
        </w:rPr>
        <w:t xml:space="preserve">sadržaj/žanr, </w:t>
      </w:r>
      <w:r w:rsidRPr="005A637D">
        <w:rPr>
          <w:rFonts w:cstheme="minorHAnsi"/>
          <w:sz w:val="22"/>
        </w:rPr>
        <w:t xml:space="preserve">ostvarenost teme, kompozicija sastavka, </w:t>
      </w:r>
      <w:r w:rsidR="00936B91">
        <w:rPr>
          <w:rFonts w:cstheme="minorHAnsi"/>
          <w:sz w:val="22"/>
        </w:rPr>
        <w:t xml:space="preserve">stil i jezik (originalnost i bogatstvo rječnika), </w:t>
      </w:r>
      <w:r w:rsidRPr="005A637D">
        <w:rPr>
          <w:rFonts w:cstheme="minorHAnsi"/>
          <w:sz w:val="22"/>
        </w:rPr>
        <w:t>gramatička</w:t>
      </w:r>
      <w:r w:rsidR="00936B91">
        <w:rPr>
          <w:rFonts w:cstheme="minorHAnsi"/>
          <w:sz w:val="22"/>
        </w:rPr>
        <w:t xml:space="preserve"> </w:t>
      </w:r>
      <w:r w:rsidRPr="005A637D">
        <w:rPr>
          <w:rFonts w:cstheme="minorHAnsi"/>
          <w:sz w:val="22"/>
        </w:rPr>
        <w:t>i pravopisna točnost, čitljivost i urednost, razvidna struktura teksta.</w:t>
      </w:r>
      <w:r w:rsidR="00936B91">
        <w:rPr>
          <w:rFonts w:cstheme="minorHAnsi"/>
          <w:sz w:val="22"/>
        </w:rPr>
        <w:t xml:space="preserve"> </w:t>
      </w:r>
    </w:p>
    <w:p w14:paraId="65191A34" w14:textId="0F0F329B" w:rsidR="00936B91" w:rsidRDefault="00936B91" w:rsidP="00936B91">
      <w:pPr>
        <w:ind w:left="-1134" w:right="-810"/>
        <w:jc w:val="both"/>
        <w:rPr>
          <w:rFonts w:ascii="Barlow SK" w:hAnsi="Barlow SK"/>
          <w:b/>
          <w:i/>
          <w:color w:val="E36C0A" w:themeColor="accent6" w:themeShade="BF"/>
          <w:sz w:val="28"/>
          <w:szCs w:val="28"/>
        </w:rPr>
      </w:pPr>
    </w:p>
    <w:p w14:paraId="71D87B85" w14:textId="19078A44" w:rsidR="00D64F71" w:rsidRDefault="00D64F71" w:rsidP="00D64F71">
      <w:pPr>
        <w:ind w:left="-1134" w:right="-810"/>
        <w:jc w:val="both"/>
        <w:rPr>
          <w:rFonts w:cstheme="minorHAnsi"/>
          <w:sz w:val="22"/>
        </w:rPr>
      </w:pPr>
      <w:r w:rsidRPr="004A001C">
        <w:rPr>
          <w:rFonts w:cstheme="minorHAnsi"/>
          <w:sz w:val="22"/>
        </w:rPr>
        <w:t>Pisano se</w:t>
      </w:r>
      <w:r>
        <w:rPr>
          <w:rFonts w:cstheme="minorHAnsi"/>
          <w:sz w:val="22"/>
        </w:rPr>
        <w:t xml:space="preserve"> </w:t>
      </w:r>
      <w:r w:rsidRPr="004A001C">
        <w:rPr>
          <w:rFonts w:cstheme="minorHAnsi"/>
          <w:sz w:val="22"/>
        </w:rPr>
        <w:t xml:space="preserve">provjeravanje provodi poslije obrađenih i uvježbanih nastavnih sadržaja, kontinuirano </w:t>
      </w:r>
      <w:r>
        <w:rPr>
          <w:rFonts w:cstheme="minorHAnsi"/>
          <w:sz w:val="22"/>
        </w:rPr>
        <w:t xml:space="preserve"> </w:t>
      </w:r>
      <w:r w:rsidRPr="004A001C">
        <w:rPr>
          <w:rFonts w:cstheme="minorHAnsi"/>
          <w:sz w:val="22"/>
        </w:rPr>
        <w:t>tijekom nastavne godine.</w:t>
      </w:r>
    </w:p>
    <w:p w14:paraId="51500A60" w14:textId="77777777" w:rsidR="00D64F71" w:rsidRDefault="00D64F71" w:rsidP="00D64F71">
      <w:pPr>
        <w:ind w:left="-1134" w:right="-810"/>
        <w:jc w:val="both"/>
        <w:rPr>
          <w:rFonts w:cstheme="minorHAnsi"/>
          <w:sz w:val="22"/>
        </w:rPr>
      </w:pPr>
    </w:p>
    <w:p w14:paraId="274C5407" w14:textId="5CBD171E" w:rsidR="00936B91" w:rsidRDefault="00936B91" w:rsidP="00936B91">
      <w:pPr>
        <w:ind w:left="-1134" w:right="-810"/>
        <w:jc w:val="both"/>
        <w:rPr>
          <w:rFonts w:cstheme="minorHAnsi"/>
          <w:sz w:val="22"/>
          <w:szCs w:val="24"/>
        </w:rPr>
      </w:pPr>
      <w:r w:rsidRPr="006C0485">
        <w:rPr>
          <w:rFonts w:cstheme="minorHAnsi"/>
          <w:sz w:val="22"/>
          <w:szCs w:val="24"/>
        </w:rPr>
        <w:t xml:space="preserve">Važan </w:t>
      </w:r>
      <w:r>
        <w:rPr>
          <w:rFonts w:cstheme="minorHAnsi"/>
          <w:sz w:val="22"/>
          <w:szCs w:val="24"/>
        </w:rPr>
        <w:t xml:space="preserve">su dio vrednovanja i </w:t>
      </w:r>
      <w:r w:rsidRPr="00B81412">
        <w:rPr>
          <w:rFonts w:cstheme="minorHAnsi"/>
          <w:b/>
          <w:sz w:val="22"/>
          <w:szCs w:val="24"/>
        </w:rPr>
        <w:t>bilješke</w:t>
      </w:r>
      <w:r w:rsidRPr="006C0485">
        <w:rPr>
          <w:rFonts w:cstheme="minorHAnsi"/>
          <w:sz w:val="22"/>
          <w:szCs w:val="24"/>
        </w:rPr>
        <w:t xml:space="preserve"> kojima se prati </w:t>
      </w:r>
      <w:r w:rsidRPr="006C0485">
        <w:rPr>
          <w:rFonts w:cstheme="minorHAnsi"/>
          <w:sz w:val="22"/>
          <w:szCs w:val="24"/>
          <w:lang w:bidi="en-US"/>
        </w:rPr>
        <w:t>rad i napredovanje učenika te njegov odnos prema radu</w:t>
      </w:r>
      <w:r>
        <w:rPr>
          <w:rFonts w:cstheme="minorHAnsi"/>
          <w:sz w:val="22"/>
          <w:szCs w:val="24"/>
          <w:lang w:bidi="en-US"/>
        </w:rPr>
        <w:t xml:space="preserve"> (aktivnost na satu, pisanje domaćih zadaća, nošenje pribora i sl.)</w:t>
      </w:r>
      <w:r w:rsidRPr="006C0485">
        <w:rPr>
          <w:rFonts w:cstheme="minorHAnsi"/>
          <w:sz w:val="22"/>
          <w:szCs w:val="24"/>
          <w:lang w:bidi="en-US"/>
        </w:rPr>
        <w:t xml:space="preserve">. </w:t>
      </w:r>
      <w:r>
        <w:rPr>
          <w:rFonts w:cstheme="minorHAnsi"/>
          <w:sz w:val="22"/>
          <w:szCs w:val="24"/>
        </w:rPr>
        <w:t xml:space="preserve">U bilješke kojima se prati rad </w:t>
      </w:r>
      <w:r w:rsidR="00B81412">
        <w:rPr>
          <w:rFonts w:cstheme="minorHAnsi"/>
          <w:sz w:val="22"/>
          <w:szCs w:val="24"/>
        </w:rPr>
        <w:t xml:space="preserve">i napredovanje učenika </w:t>
      </w:r>
      <w:r>
        <w:rPr>
          <w:rFonts w:cstheme="minorHAnsi"/>
          <w:sz w:val="22"/>
          <w:szCs w:val="24"/>
        </w:rPr>
        <w:t xml:space="preserve">ubrajaju se </w:t>
      </w:r>
      <w:r w:rsidRPr="006C0485">
        <w:rPr>
          <w:rFonts w:cstheme="minorHAnsi"/>
          <w:sz w:val="22"/>
          <w:szCs w:val="24"/>
        </w:rPr>
        <w:t>i rubrike za samovrednovanje i vršnjačko vrednovanje te različite liste procjena, izlazne kartice i sl.</w:t>
      </w:r>
      <w:r>
        <w:rPr>
          <w:rFonts w:cstheme="minorHAnsi"/>
          <w:sz w:val="22"/>
          <w:szCs w:val="24"/>
        </w:rPr>
        <w:t>,</w:t>
      </w:r>
      <w:r w:rsidRPr="006C0485">
        <w:rPr>
          <w:rFonts w:cstheme="minorHAnsi"/>
          <w:sz w:val="22"/>
          <w:szCs w:val="24"/>
        </w:rPr>
        <w:t xml:space="preserve"> kao i usmeno vrednovanje</w:t>
      </w:r>
      <w:r>
        <w:rPr>
          <w:rFonts w:cstheme="minorHAnsi"/>
          <w:sz w:val="22"/>
          <w:szCs w:val="24"/>
        </w:rPr>
        <w:t xml:space="preserve"> </w:t>
      </w:r>
      <w:r w:rsidR="00B81412">
        <w:rPr>
          <w:rFonts w:cstheme="minorHAnsi"/>
          <w:sz w:val="22"/>
          <w:szCs w:val="24"/>
        </w:rPr>
        <w:t>što</w:t>
      </w:r>
      <w:r w:rsidRPr="006C0485">
        <w:rPr>
          <w:rFonts w:cstheme="minorHAnsi"/>
          <w:sz w:val="22"/>
          <w:szCs w:val="24"/>
        </w:rPr>
        <w:t xml:space="preserve"> je važna povratna informacija za učenika u procesu poučavanja i učenja. </w:t>
      </w:r>
    </w:p>
    <w:p w14:paraId="5D2CBF93" w14:textId="18BE56E7" w:rsidR="00271541" w:rsidRDefault="00271541" w:rsidP="00936B91">
      <w:pPr>
        <w:ind w:left="-1134" w:right="-810"/>
        <w:jc w:val="both"/>
      </w:pPr>
    </w:p>
    <w:p w14:paraId="59188FFE" w14:textId="175C96D8" w:rsidR="00271541" w:rsidRPr="00271541" w:rsidRDefault="00271541" w:rsidP="00271541">
      <w:pPr>
        <w:ind w:left="-1134" w:right="-810"/>
        <w:jc w:val="both"/>
        <w:rPr>
          <w:sz w:val="22"/>
        </w:rPr>
      </w:pPr>
      <w:r w:rsidRPr="00271541">
        <w:rPr>
          <w:b/>
          <w:sz w:val="22"/>
        </w:rPr>
        <w:t>Zaključna ocjena</w:t>
      </w:r>
      <w:r w:rsidRPr="00271541">
        <w:rPr>
          <w:sz w:val="22"/>
        </w:rPr>
        <w:t xml:space="preserve"> izraz </w:t>
      </w:r>
      <w:r>
        <w:rPr>
          <w:sz w:val="22"/>
        </w:rPr>
        <w:t xml:space="preserve">je </w:t>
      </w:r>
      <w:r w:rsidRPr="00271541">
        <w:rPr>
          <w:sz w:val="22"/>
        </w:rPr>
        <w:t>postignute razine učenikovih kompetencija ostvarenosti odgojno-obrazovnih ishoda u i rezultat ukupnoga procesa vrednovanja tijekom nastavne godine</w:t>
      </w:r>
      <w:r>
        <w:rPr>
          <w:sz w:val="22"/>
        </w:rPr>
        <w:t xml:space="preserve">. </w:t>
      </w:r>
      <w:r w:rsidRPr="00271541">
        <w:rPr>
          <w:sz w:val="22"/>
        </w:rPr>
        <w:t xml:space="preserve">Zaključna ocjena na kraju nastavne godine </w:t>
      </w:r>
      <w:r w:rsidRPr="00271541">
        <w:rPr>
          <w:b/>
          <w:sz w:val="22"/>
        </w:rPr>
        <w:t>ne mora</w:t>
      </w:r>
      <w:r w:rsidRPr="00271541">
        <w:rPr>
          <w:sz w:val="22"/>
        </w:rPr>
        <w:t xml:space="preserve"> proizlaziti iz aritmetičke sredine upisanih ocjena, osobito ako je učenik pokazao napredak u drugom polugodištu.</w:t>
      </w:r>
    </w:p>
    <w:p w14:paraId="5515257F" w14:textId="77777777" w:rsidR="00936B91" w:rsidRPr="00AD691E" w:rsidRDefault="00936B91" w:rsidP="00936B91">
      <w:pPr>
        <w:ind w:left="-1134" w:right="-810"/>
        <w:jc w:val="both"/>
        <w:rPr>
          <w:rFonts w:ascii="Barlow SK" w:hAnsi="Barlow SK"/>
          <w:b/>
          <w:i/>
          <w:color w:val="E36C0A" w:themeColor="accent6" w:themeShade="BF"/>
          <w:sz w:val="28"/>
          <w:szCs w:val="28"/>
        </w:rPr>
      </w:pPr>
    </w:p>
    <w:p w14:paraId="0A75C50B" w14:textId="77777777" w:rsidR="00404CCE" w:rsidRPr="00D65704" w:rsidRDefault="00404CCE" w:rsidP="00404CCE">
      <w:pPr>
        <w:rPr>
          <w:rFonts w:ascii="Barlow SK" w:hAnsi="Barlow SK"/>
          <w:b/>
        </w:rPr>
      </w:pPr>
    </w:p>
    <w:tbl>
      <w:tblPr>
        <w:tblStyle w:val="TableGrid"/>
        <w:tblW w:w="6554" w:type="pct"/>
        <w:tblInd w:w="-1423" w:type="dxa"/>
        <w:tblBorders>
          <w:top w:val="dashed" w:sz="4" w:space="0" w:color="4F6228" w:themeColor="accent3" w:themeShade="80"/>
          <w:left w:val="dashed" w:sz="4" w:space="0" w:color="4F6228" w:themeColor="accent3" w:themeShade="80"/>
          <w:bottom w:val="dashed" w:sz="4" w:space="0" w:color="4F6228" w:themeColor="accent3" w:themeShade="80"/>
          <w:right w:val="dashed" w:sz="4" w:space="0" w:color="4F6228" w:themeColor="accent3" w:themeShade="80"/>
          <w:insideH w:val="dashed" w:sz="4" w:space="0" w:color="4F6228" w:themeColor="accent3" w:themeShade="80"/>
          <w:insideV w:val="dashed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369"/>
        <w:gridCol w:w="1799"/>
        <w:gridCol w:w="7464"/>
      </w:tblGrid>
      <w:tr w:rsidR="00B81412" w:rsidRPr="00D37706" w14:paraId="45DD8866" w14:textId="77777777" w:rsidTr="00D64F71">
        <w:trPr>
          <w:trHeight w:val="549"/>
          <w:tblHeader/>
        </w:trPr>
        <w:tc>
          <w:tcPr>
            <w:tcW w:w="644" w:type="pct"/>
            <w:shd w:val="clear" w:color="auto" w:fill="E36C0A" w:themeFill="accent6" w:themeFillShade="BF"/>
          </w:tcPr>
          <w:p w14:paraId="6314F6FC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36540008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Ocjena</w:t>
            </w:r>
          </w:p>
        </w:tc>
        <w:tc>
          <w:tcPr>
            <w:tcW w:w="846" w:type="pct"/>
            <w:shd w:val="clear" w:color="auto" w:fill="E36C0A" w:themeFill="accent6" w:themeFillShade="BF"/>
          </w:tcPr>
          <w:p w14:paraId="4F920E9E" w14:textId="77777777" w:rsidR="00D37706" w:rsidRPr="007C148A" w:rsidRDefault="00D37706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</w:p>
          <w:p w14:paraId="3147A9D4" w14:textId="77777777" w:rsidR="00404CCE" w:rsidRPr="007C148A" w:rsidRDefault="00404CCE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Obrazloženje</w:t>
            </w:r>
          </w:p>
        </w:tc>
        <w:tc>
          <w:tcPr>
            <w:tcW w:w="3511" w:type="pct"/>
            <w:shd w:val="clear" w:color="auto" w:fill="E36C0A" w:themeFill="accent6" w:themeFillShade="BF"/>
          </w:tcPr>
          <w:p w14:paraId="254AE91B" w14:textId="057EFF6F" w:rsidR="00404CCE" w:rsidRPr="007C148A" w:rsidRDefault="00510D38" w:rsidP="007C148A">
            <w:pPr>
              <w:spacing w:before="240" w:after="240"/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kriteriji</w:t>
            </w:r>
            <w:r w:rsidR="00404CCE" w:rsidRPr="007C148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vrednovanja</w:t>
            </w:r>
          </w:p>
        </w:tc>
      </w:tr>
      <w:tr w:rsidR="00B81412" w:rsidRPr="00D37706" w14:paraId="25791666" w14:textId="77777777" w:rsidTr="00D64F71">
        <w:trPr>
          <w:trHeight w:val="1962"/>
        </w:trPr>
        <w:tc>
          <w:tcPr>
            <w:tcW w:w="644" w:type="pct"/>
            <w:shd w:val="clear" w:color="auto" w:fill="E36C0A" w:themeFill="accent6" w:themeFillShade="BF"/>
            <w:vAlign w:val="center"/>
          </w:tcPr>
          <w:p w14:paraId="5EC697DB" w14:textId="77777777" w:rsidR="00404CCE" w:rsidRPr="00510D38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</w:t>
            </w:r>
            <w:r w:rsidR="00404CCE"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ovoljan (2)</w:t>
            </w:r>
          </w:p>
        </w:tc>
        <w:tc>
          <w:tcPr>
            <w:tcW w:w="846" w:type="pct"/>
            <w:shd w:val="clear" w:color="auto" w:fill="FABF8F" w:themeFill="accent6" w:themeFillTint="99"/>
          </w:tcPr>
          <w:p w14:paraId="03BC8E7E" w14:textId="77777777" w:rsidR="00404CCE" w:rsidRPr="00AD691E" w:rsidRDefault="006C0485" w:rsidP="007C148A">
            <w:pPr>
              <w:pStyle w:val="Default"/>
              <w:spacing w:before="120"/>
              <w:ind w:left="113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AD691E">
              <w:rPr>
                <w:rFonts w:asciiTheme="minorHAnsi" w:hAnsiTheme="minorHAnsi" w:cstheme="minorHAnsi"/>
                <w:b/>
                <w:color w:val="auto"/>
                <w:sz w:val="22"/>
              </w:rPr>
              <w:t>n</w:t>
            </w:r>
            <w:r w:rsidR="00404CCE" w:rsidRPr="00AD691E">
              <w:rPr>
                <w:rFonts w:asciiTheme="minorHAnsi" w:hAnsiTheme="minorHAnsi" w:cstheme="minorHAnsi"/>
                <w:b/>
                <w:color w:val="auto"/>
                <w:sz w:val="22"/>
              </w:rPr>
              <w:t>epotpuno, površno i</w:t>
            </w:r>
          </w:p>
          <w:p w14:paraId="73B33AC2" w14:textId="77777777" w:rsidR="00404CCE" w:rsidRPr="00AD691E" w:rsidRDefault="00404CCE" w:rsidP="007C148A">
            <w:pPr>
              <w:pStyle w:val="Default"/>
              <w:ind w:left="113"/>
              <w:rPr>
                <w:rFonts w:asciiTheme="minorHAnsi" w:hAnsiTheme="minorHAnsi" w:cstheme="minorHAnsi"/>
                <w:b/>
                <w:color w:val="auto"/>
              </w:rPr>
            </w:pPr>
            <w:r w:rsidRPr="00AD691E">
              <w:rPr>
                <w:rFonts w:asciiTheme="minorHAnsi" w:hAnsiTheme="minorHAnsi" w:cstheme="minorHAnsi"/>
                <w:b/>
                <w:color w:val="auto"/>
                <w:sz w:val="22"/>
              </w:rPr>
              <w:t>s pogreškama, izneseno znanje slabo je povezano</w:t>
            </w:r>
          </w:p>
        </w:tc>
        <w:tc>
          <w:tcPr>
            <w:tcW w:w="3511" w:type="pct"/>
          </w:tcPr>
          <w:p w14:paraId="3DE20D27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spacing w:before="120"/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Učitelj/učiteljica mu pomaže kod odgovaranja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 p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ostavljajući pomoćna pitanja na </w:t>
            </w:r>
            <w:r w:rsidR="007C148A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koja učenik uvijek ne odgovara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sigurno.</w:t>
            </w:r>
          </w:p>
          <w:p w14:paraId="241F6191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U izražavanju 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 xml:space="preserve">je nesamostalan i 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radi formalne pogreške.</w:t>
            </w:r>
          </w:p>
          <w:p w14:paraId="62EECDB1" w14:textId="77777777" w:rsidR="00F32C8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Pri odgovaranju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potreban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je 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veći broj potpitanja i usmjeravanja prema točnom odgovoru. </w:t>
            </w:r>
          </w:p>
          <w:p w14:paraId="7E55ED38" w14:textId="77777777" w:rsidR="00B51798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Nabraja faze nekog procesa, ali ne može ga samostalno opisati i izvesti zaključke.</w:t>
            </w:r>
          </w:p>
          <w:p w14:paraId="417A6917" w14:textId="77777777" w:rsidR="00404CCE" w:rsidRPr="007C148A" w:rsidRDefault="00DA3709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Čak i uz pomoć učitelja</w:t>
            </w:r>
            <w:r w:rsidR="00137436" w:rsidRPr="007C148A">
              <w:rPr>
                <w:rFonts w:asciiTheme="minorHAnsi" w:hAnsiTheme="minorHAnsi" w:cstheme="minorHAnsi"/>
                <w:color w:val="auto"/>
                <w:sz w:val="22"/>
              </w:rPr>
              <w:t>/učiteljice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slabo i nesigurno primjenjuje znanje.</w:t>
            </w:r>
          </w:p>
          <w:p w14:paraId="101E78FE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U analizi graf</w:t>
            </w:r>
            <w:r w:rsidR="007C148A">
              <w:rPr>
                <w:rFonts w:asciiTheme="minorHAnsi" w:hAnsiTheme="minorHAnsi" w:cstheme="minorHAnsi"/>
                <w:color w:val="auto"/>
                <w:sz w:val="22"/>
              </w:rPr>
              <w:t>ičkih i slikovnih priloga uočavaju se</w:t>
            </w: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pogreške.</w:t>
            </w:r>
          </w:p>
          <w:p w14:paraId="7C144F62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Površno i djelomično uočava osnovne procese.</w:t>
            </w:r>
          </w:p>
          <w:p w14:paraId="32365BC3" w14:textId="77777777" w:rsidR="00404CCE" w:rsidRPr="007C148A" w:rsidRDefault="007C148A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Rijetko izražava</w:t>
            </w:r>
            <w:r w:rsidR="00404CCE" w:rsidRPr="007C148A">
              <w:rPr>
                <w:rFonts w:asciiTheme="minorHAnsi" w:hAnsiTheme="minorHAnsi" w:cstheme="minorHAnsi"/>
                <w:color w:val="auto"/>
                <w:sz w:val="22"/>
              </w:rPr>
              <w:t xml:space="preserve"> vlastito mišljenje.</w:t>
            </w:r>
          </w:p>
          <w:p w14:paraId="6A6B16BD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Slabo se služi dodatnim izvorima znanja i teško procjenjuje točnost ili relevantnost u dodatnoj literaturi.</w:t>
            </w:r>
          </w:p>
          <w:p w14:paraId="295434C4" w14:textId="77777777" w:rsidR="00404CCE" w:rsidRPr="007C148A" w:rsidRDefault="00404CCE" w:rsidP="006C0485">
            <w:pPr>
              <w:pStyle w:val="Default"/>
              <w:numPr>
                <w:ilvl w:val="0"/>
                <w:numId w:val="17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Djelomično točno prikazuje rezultate istraživanja, a tumačenja rezultata su jako manjkava.</w:t>
            </w:r>
          </w:p>
          <w:p w14:paraId="7037CC0D" w14:textId="77777777" w:rsidR="000E767F" w:rsidRDefault="00404CCE" w:rsidP="000E767F">
            <w:pPr>
              <w:pStyle w:val="Default"/>
              <w:numPr>
                <w:ilvl w:val="0"/>
                <w:numId w:val="17"/>
              </w:numPr>
              <w:ind w:left="470" w:hanging="357"/>
              <w:rPr>
                <w:rFonts w:asciiTheme="minorHAnsi" w:hAnsiTheme="minorHAnsi" w:cstheme="minorHAnsi"/>
                <w:color w:val="auto"/>
                <w:sz w:val="22"/>
              </w:rPr>
            </w:pPr>
            <w:r w:rsidRPr="007C148A">
              <w:rPr>
                <w:rFonts w:asciiTheme="minorHAnsi" w:hAnsiTheme="minorHAnsi" w:cstheme="minorHAnsi"/>
                <w:color w:val="auto"/>
                <w:sz w:val="22"/>
              </w:rPr>
              <w:t>Pri provođenju istraživanja treba kontinuiranu pomoć, ali se trudi primijeniti osnovna pravila.</w:t>
            </w:r>
          </w:p>
          <w:p w14:paraId="1E791075" w14:textId="3F63BC33" w:rsidR="000E767F" w:rsidRPr="00DA2558" w:rsidRDefault="000E767F" w:rsidP="000E767F">
            <w:pPr>
              <w:pStyle w:val="Default"/>
              <w:numPr>
                <w:ilvl w:val="0"/>
                <w:numId w:val="17"/>
              </w:numPr>
              <w:ind w:left="470" w:hanging="357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DA2558">
              <w:rPr>
                <w:rFonts w:asciiTheme="minorHAnsi" w:hAnsiTheme="minorHAnsi" w:cstheme="minorHAnsi"/>
                <w:b/>
                <w:color w:val="auto"/>
                <w:sz w:val="22"/>
              </w:rPr>
              <w:t>Pisane provjere – postotak: 50% - 62%</w:t>
            </w:r>
          </w:p>
        </w:tc>
      </w:tr>
      <w:tr w:rsidR="00B81412" w:rsidRPr="00D37706" w14:paraId="1ABECA66" w14:textId="77777777" w:rsidTr="00D64F71">
        <w:trPr>
          <w:trHeight w:val="625"/>
        </w:trPr>
        <w:tc>
          <w:tcPr>
            <w:tcW w:w="644" w:type="pct"/>
            <w:shd w:val="clear" w:color="auto" w:fill="E36C0A" w:themeFill="accent6" w:themeFillShade="BF"/>
            <w:vAlign w:val="center"/>
          </w:tcPr>
          <w:p w14:paraId="315CFBE1" w14:textId="77777777" w:rsidR="00404CCE" w:rsidRPr="00510D38" w:rsidRDefault="007C148A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</w:t>
            </w:r>
            <w:r w:rsidR="00404CCE"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obar (3)</w:t>
            </w:r>
          </w:p>
        </w:tc>
        <w:tc>
          <w:tcPr>
            <w:tcW w:w="846" w:type="pct"/>
            <w:shd w:val="clear" w:color="auto" w:fill="FABF8F" w:themeFill="accent6" w:themeFillTint="99"/>
          </w:tcPr>
          <w:p w14:paraId="5737C2C0" w14:textId="77777777" w:rsidR="00404CCE" w:rsidRPr="00AD691E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d</w:t>
            </w:r>
            <w:r w:rsidR="00404CCE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jelomično logično</w:t>
            </w:r>
          </w:p>
          <w:p w14:paraId="11371BB1" w14:textId="77777777" w:rsidR="00404CCE" w:rsidRPr="00AD691E" w:rsidRDefault="00404CCE" w:rsidP="006C0485">
            <w:pPr>
              <w:ind w:left="113"/>
              <w:rPr>
                <w:rFonts w:asciiTheme="minorHAnsi" w:hAnsiTheme="minorHAnsi" w:cstheme="minorHAnsi"/>
                <w:b/>
                <w:szCs w:val="24"/>
              </w:rPr>
            </w:pPr>
            <w:r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i uvjerljivo</w:t>
            </w:r>
          </w:p>
        </w:tc>
        <w:tc>
          <w:tcPr>
            <w:tcW w:w="3511" w:type="pct"/>
          </w:tcPr>
          <w:p w14:paraId="0A2E03E9" w14:textId="77777777" w:rsidR="00F32C8E" w:rsidRPr="006C0485" w:rsidRDefault="00F32C8E" w:rsidP="001D50A1">
            <w:pPr>
              <w:pStyle w:val="ListParagraph"/>
              <w:numPr>
                <w:ilvl w:val="0"/>
                <w:numId w:val="18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Vlada osnovnim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sadržajima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propisanim ishodima predmetnog kurikuluma i međupredmetnim očekivanjima.</w:t>
            </w:r>
          </w:p>
          <w:p w14:paraId="2258B460" w14:textId="77777777" w:rsidR="00404CCE" w:rsidRPr="006C0485" w:rsidRDefault="00F32C8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primjeni i povezivanju činjenica ne pokazuje sigurnost i samostalnost (nema bitnih pogrešaka pri izlaganju činjenica; potrebna su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i potpitanja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učitelja/učiteljice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, osobito kad se radi o povezi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vanju materijala; ne zna smisleno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i 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bez učiteljeve pomoći izložiti obrađene sadržaje učenja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400C793A" w14:textId="77777777" w:rsidR="00F32C8E" w:rsidRPr="006C0485" w:rsidRDefault="00F32C8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Nesiguran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 xml:space="preserve">je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 objašnja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vanju uzročno-posljedičnih veza.</w:t>
            </w:r>
          </w:p>
          <w:p w14:paraId="3993824F" w14:textId="77777777" w:rsidR="00F32C8E" w:rsidRPr="006C0485" w:rsidRDefault="00F32C8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U rješavanju problemskih zadataka i prikazivanju međuodnosa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treba pomoć učitelj/učiteljice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6AFADB2D" w14:textId="77777777" w:rsidR="00D37706" w:rsidRPr="006C0485" w:rsidRDefault="00DA3709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>Razumije osnovne obrađene programske sadržaje, ali ih ne primjenjuje u novoj situaciji niti potkrepljuje vlastitim primjerima.</w:t>
            </w:r>
          </w:p>
          <w:p w14:paraId="34B73C51" w14:textId="77777777" w:rsidR="00404CCE" w:rsidRPr="006C0485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djelomično donosi zaključke pri analizi procesa i pojava.</w:t>
            </w:r>
          </w:p>
          <w:p w14:paraId="7491C9B6" w14:textId="77777777" w:rsidR="006C0485" w:rsidRPr="006C0485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izvodi praktične radove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17F4469A" w14:textId="77777777" w:rsidR="006C0485" w:rsidRPr="006C0485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Nedovoljno samostalno provodi istraživanje i primjenjuje usvojeno teorijsko znanje.</w:t>
            </w:r>
          </w:p>
          <w:p w14:paraId="1145429D" w14:textId="77777777" w:rsidR="006C0485" w:rsidRPr="006C0485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Vidljivi su propusti u opažanju, a u raspravama sudjeluje samo povremeno.</w:t>
            </w:r>
          </w:p>
          <w:p w14:paraId="29192B26" w14:textId="77777777" w:rsidR="006C0485" w:rsidRPr="006C0485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Prikazivanje i argumentacija rezultata nije dovoljno precizna te treba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  <w:p w14:paraId="5E3E3919" w14:textId="5BF5A5A5" w:rsidR="00404CCE" w:rsidRDefault="00404CCE" w:rsidP="006C0485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pomoć prepoznaje ili postavlja istraživačka pitanja i služi se dodatnom literaturom.</w:t>
            </w:r>
          </w:p>
          <w:p w14:paraId="4599076D" w14:textId="5037579F" w:rsidR="000E767F" w:rsidRPr="00DA2558" w:rsidRDefault="000E767F" w:rsidP="000E767F">
            <w:pPr>
              <w:pStyle w:val="ListParagraph"/>
              <w:numPr>
                <w:ilvl w:val="0"/>
                <w:numId w:val="18"/>
              </w:numPr>
              <w:ind w:left="473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DA2558">
              <w:rPr>
                <w:rFonts w:asciiTheme="minorHAnsi" w:hAnsiTheme="minorHAnsi" w:cstheme="minorHAnsi"/>
                <w:b/>
                <w:sz w:val="22"/>
              </w:rPr>
              <w:t>Pisane provjere – postotak: 63% - 79%</w:t>
            </w:r>
          </w:p>
        </w:tc>
      </w:tr>
      <w:tr w:rsidR="00B81412" w:rsidRPr="00D37706" w14:paraId="0B2CA6F1" w14:textId="77777777" w:rsidTr="00D64F71">
        <w:trPr>
          <w:trHeight w:val="1815"/>
        </w:trPr>
        <w:tc>
          <w:tcPr>
            <w:tcW w:w="644" w:type="pct"/>
            <w:shd w:val="clear" w:color="auto" w:fill="E36C0A" w:themeFill="accent6" w:themeFillShade="BF"/>
            <w:vAlign w:val="center"/>
          </w:tcPr>
          <w:p w14:paraId="246770D1" w14:textId="77777777" w:rsidR="00404CCE" w:rsidRPr="00510D38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v</w:t>
            </w:r>
            <w:r w:rsidR="00404CCE"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rlo dobar (4)</w:t>
            </w:r>
          </w:p>
        </w:tc>
        <w:tc>
          <w:tcPr>
            <w:tcW w:w="846" w:type="pct"/>
            <w:shd w:val="clear" w:color="auto" w:fill="FABF8F" w:themeFill="accent6" w:themeFillTint="99"/>
          </w:tcPr>
          <w:p w14:paraId="2F5FB986" w14:textId="77777777" w:rsidR="00404CCE" w:rsidRPr="00AD691E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b/>
                <w:szCs w:val="24"/>
              </w:rPr>
            </w:pPr>
            <w:r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t</w:t>
            </w:r>
            <w:r w:rsidR="00404CCE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očno, logično, temeljito i s razumijevanjem </w:t>
            </w:r>
            <w:r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                         (</w:t>
            </w:r>
            <w:r w:rsidR="00404CCE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izlaganje sigurno bez </w:t>
            </w:r>
            <w:r w:rsidR="00D37706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poštapalica</w:t>
            </w:r>
            <w:r w:rsidR="00404CCE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3511" w:type="pct"/>
          </w:tcPr>
          <w:p w14:paraId="065D1AFB" w14:textId="77777777" w:rsidR="00404CCE" w:rsidRPr="006C0485" w:rsidRDefault="00404CCE" w:rsidP="001D50A1">
            <w:pPr>
              <w:pStyle w:val="ListParagraph"/>
              <w:numPr>
                <w:ilvl w:val="0"/>
                <w:numId w:val="20"/>
              </w:numPr>
              <w:spacing w:before="120"/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Sigurno i solidno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vlada 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ishodima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predmetnog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>a kurikul</w:t>
            </w:r>
            <w:r w:rsidR="00F32C8E" w:rsidRPr="006C0485">
              <w:rPr>
                <w:rFonts w:asciiTheme="minorHAnsi" w:hAnsiTheme="minorHAnsi" w:cstheme="minorHAnsi"/>
                <w:sz w:val="22"/>
                <w:szCs w:val="24"/>
              </w:rPr>
              <w:t>a  i međupredmetnih očekivanja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 uz praktičnu primjenu, ali ima nedostataka u povezivanju detalja i činjenica  (nedostatke u povezivanju činjenica ispravlja na  napomenu 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).</w:t>
            </w:r>
          </w:p>
          <w:p w14:paraId="3CE0C5BB" w14:textId="77777777" w:rsidR="00F32C8E" w:rsidRPr="006C0485" w:rsidRDefault="00F32C8E" w:rsidP="006C0485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Uspješno objašnjava naučeno. Služi se usvojenim znanjem i navodi vlastit</w:t>
            </w:r>
            <w:r w:rsidR="00D37706" w:rsidRPr="006C0485">
              <w:rPr>
                <w:rFonts w:asciiTheme="minorHAnsi" w:hAnsiTheme="minorHAnsi" w:cstheme="minorHAnsi"/>
                <w:sz w:val="22"/>
                <w:szCs w:val="24"/>
              </w:rPr>
              <w:t xml:space="preserve">e primjere te logično obrazlaže ono o čemu govori </w:t>
            </w: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uz rijetke poticaje ili pomoć učitelja</w:t>
            </w:r>
            <w:r w:rsidR="00137436" w:rsidRPr="006C0485">
              <w:rPr>
                <w:rFonts w:asciiTheme="minorHAnsi" w:hAnsiTheme="minorHAnsi" w:cstheme="minorHAnsi"/>
                <w:sz w:val="22"/>
                <w:szCs w:val="24"/>
              </w:rPr>
              <w:t>/učiteljice.</w:t>
            </w:r>
          </w:p>
          <w:p w14:paraId="160E79C4" w14:textId="77777777" w:rsidR="00F32C8E" w:rsidRPr="006C0485" w:rsidRDefault="00F32C8E" w:rsidP="006C0485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Povezuje naučene nastavne sadržaje sa svakodnevnim životom</w:t>
            </w:r>
            <w:r w:rsidR="006C0485">
              <w:rPr>
                <w:rFonts w:asciiTheme="minorHAnsi" w:hAnsiTheme="minorHAnsi" w:cstheme="minorHAnsi"/>
                <w:sz w:val="22"/>
                <w:szCs w:val="24"/>
              </w:rPr>
              <w:t>.</w:t>
            </w:r>
          </w:p>
          <w:p w14:paraId="44621E15" w14:textId="77777777" w:rsidR="00404CCE" w:rsidRPr="006C0485" w:rsidRDefault="00F32C8E" w:rsidP="006C0485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Uglavnom samostalno rješava problemske zadatke.</w:t>
            </w:r>
          </w:p>
          <w:p w14:paraId="0328E938" w14:textId="77777777" w:rsidR="00404CCE" w:rsidRPr="006C0485" w:rsidRDefault="00F32C8E" w:rsidP="006C0485">
            <w:pPr>
              <w:pStyle w:val="ListParagraph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sz w:val="22"/>
                <w:szCs w:val="24"/>
              </w:rPr>
            </w:pPr>
            <w:r w:rsidRPr="006C0485">
              <w:rPr>
                <w:rFonts w:asciiTheme="minorHAnsi" w:hAnsiTheme="minorHAnsi" w:cstheme="minorHAnsi"/>
                <w:sz w:val="22"/>
                <w:szCs w:val="24"/>
              </w:rPr>
              <w:t>U</w:t>
            </w:r>
            <w:r w:rsidR="00404CCE" w:rsidRPr="006C0485">
              <w:rPr>
                <w:rFonts w:asciiTheme="minorHAnsi" w:hAnsiTheme="minorHAnsi" w:cstheme="minorHAnsi"/>
                <w:sz w:val="22"/>
                <w:szCs w:val="24"/>
              </w:rPr>
              <w:t>spješno primjenjuje stečena znanja.</w:t>
            </w:r>
          </w:p>
          <w:p w14:paraId="5387B7CC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Gotovo uvijek primjenjuje znanja, sposobnosti i vještine</w:t>
            </w:r>
            <w:r w:rsidR="00F32C8E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 u istraživanjima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. </w:t>
            </w:r>
          </w:p>
          <w:p w14:paraId="18A2FEA1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 provođenju istraživanja u potpunosti slijedi zadane etape uz manju pomoć u formuliranju istraživačkog pitanja.</w:t>
            </w:r>
          </w:p>
          <w:p w14:paraId="400F3816" w14:textId="77777777" w:rsidR="00404CCE" w:rsidRPr="006C0485" w:rsidRDefault="00404CCE" w:rsidP="006C0485">
            <w:pPr>
              <w:pStyle w:val="Default"/>
              <w:numPr>
                <w:ilvl w:val="0"/>
                <w:numId w:val="20"/>
              </w:numPr>
              <w:ind w:left="473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Samostalno prikazuje rezultate istraživanja, analizira ih, izvodi zaključke i prezentira rezultate rada.</w:t>
            </w:r>
          </w:p>
          <w:p w14:paraId="22E7766A" w14:textId="77777777" w:rsidR="00404CCE" w:rsidRPr="006C0485" w:rsidRDefault="00404CCE" w:rsidP="000E767F">
            <w:pPr>
              <w:pStyle w:val="Default"/>
              <w:numPr>
                <w:ilvl w:val="0"/>
                <w:numId w:val="20"/>
              </w:numPr>
              <w:ind w:left="470" w:hanging="357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>Uspješno samostalno opaža te često sudjeluje u raspravama i interpretacijama.</w:t>
            </w:r>
          </w:p>
          <w:p w14:paraId="2868B267" w14:textId="77777777" w:rsidR="000E767F" w:rsidRDefault="00404CCE" w:rsidP="000E767F">
            <w:pPr>
              <w:pStyle w:val="Default"/>
              <w:numPr>
                <w:ilvl w:val="0"/>
                <w:numId w:val="20"/>
              </w:numPr>
              <w:ind w:left="470" w:hanging="357"/>
              <w:rPr>
                <w:rFonts w:asciiTheme="minorHAnsi" w:hAnsiTheme="minorHAnsi" w:cstheme="minorHAnsi"/>
                <w:color w:val="auto"/>
                <w:sz w:val="22"/>
              </w:rPr>
            </w:pP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Samostalno odabire </w:t>
            </w:r>
            <w:r w:rsidR="00D37706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odgovarajuću </w:t>
            </w:r>
            <w:r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literaturu i njome se služi. </w:t>
            </w:r>
          </w:p>
          <w:p w14:paraId="24B692DB" w14:textId="4E7136A1" w:rsidR="00404CCE" w:rsidRPr="006C0485" w:rsidRDefault="000E767F" w:rsidP="000E767F">
            <w:pPr>
              <w:pStyle w:val="Default"/>
              <w:numPr>
                <w:ilvl w:val="0"/>
                <w:numId w:val="20"/>
              </w:numPr>
              <w:ind w:left="470" w:hanging="357"/>
              <w:rPr>
                <w:rFonts w:asciiTheme="minorHAnsi" w:hAnsiTheme="minorHAnsi" w:cstheme="minorHAnsi"/>
                <w:color w:val="auto"/>
                <w:sz w:val="22"/>
              </w:rPr>
            </w:pPr>
            <w:r w:rsidRPr="00DA2558">
              <w:rPr>
                <w:rFonts w:asciiTheme="minorHAnsi" w:hAnsiTheme="minorHAnsi" w:cstheme="minorHAnsi"/>
                <w:b/>
                <w:color w:val="auto"/>
                <w:sz w:val="22"/>
              </w:rPr>
              <w:t>Pisane provjere – postotak: 80% - 89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%</w:t>
            </w:r>
            <w:r w:rsidR="00404CCE" w:rsidRPr="006C0485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404CCE" w:rsidRPr="006C0485">
              <w:rPr>
                <w:rFonts w:cstheme="minorHAnsi"/>
                <w:color w:val="FF0000"/>
              </w:rPr>
              <w:t xml:space="preserve">                         </w:t>
            </w:r>
            <w:r w:rsidR="00404CCE" w:rsidRPr="006C0485">
              <w:rPr>
                <w:rFonts w:cstheme="minorHAnsi"/>
              </w:rPr>
              <w:t xml:space="preserve"> </w:t>
            </w:r>
          </w:p>
        </w:tc>
      </w:tr>
      <w:tr w:rsidR="00B81412" w:rsidRPr="00D37706" w14:paraId="4D4C5A18" w14:textId="77777777" w:rsidTr="00D64F71">
        <w:trPr>
          <w:trHeight w:val="625"/>
        </w:trPr>
        <w:tc>
          <w:tcPr>
            <w:tcW w:w="644" w:type="pct"/>
            <w:shd w:val="clear" w:color="auto" w:fill="E36C0A" w:themeFill="accent6" w:themeFillShade="BF"/>
            <w:vAlign w:val="center"/>
          </w:tcPr>
          <w:p w14:paraId="4B0D14B0" w14:textId="77777777" w:rsidR="00404CCE" w:rsidRPr="00510D38" w:rsidRDefault="006C0485" w:rsidP="007C148A">
            <w:pPr>
              <w:ind w:left="5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o</w:t>
            </w:r>
            <w:r w:rsidR="00404CCE" w:rsidRPr="00510D38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dličan (5)</w:t>
            </w:r>
          </w:p>
        </w:tc>
        <w:tc>
          <w:tcPr>
            <w:tcW w:w="846" w:type="pct"/>
            <w:shd w:val="clear" w:color="auto" w:fill="FABF8F" w:themeFill="accent6" w:themeFillTint="99"/>
          </w:tcPr>
          <w:p w14:paraId="4FDF7310" w14:textId="77777777" w:rsidR="00404CCE" w:rsidRPr="00AD691E" w:rsidRDefault="006C0485" w:rsidP="006C0485">
            <w:pPr>
              <w:spacing w:before="120"/>
              <w:ind w:left="113"/>
              <w:rPr>
                <w:rFonts w:asciiTheme="minorHAnsi" w:hAnsiTheme="minorHAnsi" w:cstheme="minorHAnsi"/>
                <w:b/>
                <w:szCs w:val="24"/>
              </w:rPr>
            </w:pPr>
            <w:r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i</w:t>
            </w:r>
            <w:r w:rsidR="00404CCE" w:rsidRPr="00AD691E">
              <w:rPr>
                <w:rFonts w:asciiTheme="minorHAnsi" w:hAnsiTheme="minorHAnsi" w:cstheme="minorHAnsi"/>
                <w:b/>
                <w:sz w:val="22"/>
                <w:szCs w:val="24"/>
              </w:rPr>
              <w:t>zrazito točno, logično, temeljito, opširno, argumentirano</w:t>
            </w:r>
          </w:p>
        </w:tc>
        <w:tc>
          <w:tcPr>
            <w:tcW w:w="3511" w:type="pct"/>
          </w:tcPr>
          <w:p w14:paraId="4A4DFF75" w14:textId="77777777" w:rsidR="00F32C8E" w:rsidRPr="006C0485" w:rsidRDefault="00F32C8E" w:rsidP="001D50A1">
            <w:pPr>
              <w:pStyle w:val="ListParagraph"/>
              <w:numPr>
                <w:ilvl w:val="0"/>
                <w:numId w:val="21"/>
              </w:num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Usvojeno znanje primjenjuje u novim situacijama i na složenijim primjerima.</w:t>
            </w:r>
          </w:p>
          <w:p w14:paraId="2D4E12C2" w14:textId="77777777" w:rsidR="00F32C8E" w:rsidRPr="006C0485" w:rsidRDefault="00F32C8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Uspješno  primjenjuje stečeno znanje te 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 xml:space="preserve">povezuje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sa srodnim sadržajima učenja drugih predmeta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325B7E" w14:textId="77777777" w:rsidR="00F32C8E" w:rsidRPr="006C0485" w:rsidRDefault="00F32C8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rješava najsloženije problemske zadatke.</w:t>
            </w:r>
          </w:p>
          <w:p w14:paraId="51ECC165" w14:textId="77777777" w:rsidR="00404CCE" w:rsidRPr="006C0485" w:rsidRDefault="00F32C8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ostalno uočava i tumači uzročno-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posljedične veze i međuodnose 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navodeći vlastite primjere.</w:t>
            </w:r>
          </w:p>
          <w:p w14:paraId="02C42A9E" w14:textId="77777777" w:rsidR="00404CCE" w:rsidRPr="006C0485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aročito se ističe u diskusijama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, praktičnim vježbama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grafikonima, 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mapama, prezentacijama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digitalnim materijalima).</w:t>
            </w:r>
          </w:p>
          <w:p w14:paraId="3AA3AA98" w14:textId="77777777" w:rsidR="00404CCE" w:rsidRPr="006C0485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osmišljava praktične radove te pokazuje originalnost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kreativnost u njihovu izvođenju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D44FBB" w14:textId="77777777" w:rsidR="00404CCE" w:rsidRPr="006C0485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Samostalno postavlja istraživačka pitanja i na teme</w:t>
            </w:r>
            <w:r w:rsidR="00433498">
              <w:rPr>
                <w:rFonts w:asciiTheme="minorHAnsi" w:hAnsiTheme="minorHAnsi" w:cstheme="minorHAnsi"/>
                <w:sz w:val="22"/>
                <w:szCs w:val="22"/>
              </w:rPr>
              <w:t>lju njih osmišljava istraživanje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, a rezultate rada kreativno prikazuje i argumentira uočavajući povezanost promatranih promjena s usvojenim nastavnim sadržajima i svakodnevnim životom.</w:t>
            </w:r>
          </w:p>
          <w:p w14:paraId="7303807D" w14:textId="77777777" w:rsidR="00404CCE" w:rsidRPr="006C0485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Redovito sudjeluje u raspravama i interpretacijama.</w:t>
            </w:r>
          </w:p>
          <w:p w14:paraId="68652728" w14:textId="77777777" w:rsidR="00404CCE" w:rsidRPr="006C0485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>Uspješno se služi dodatnom literaturom i izvorima te procjenjuje točnost podataka u dodatnoj literaturi.</w:t>
            </w:r>
          </w:p>
          <w:p w14:paraId="0B9C0B2B" w14:textId="68498ECF" w:rsidR="00404CCE" w:rsidRDefault="00404CCE" w:rsidP="006C048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Samostalno izvodi zaključke i </w:t>
            </w:r>
            <w:r w:rsidR="00D37706" w:rsidRPr="006C0485">
              <w:rPr>
                <w:rFonts w:asciiTheme="minorHAnsi" w:hAnsiTheme="minorHAnsi" w:cstheme="minorHAnsi"/>
                <w:sz w:val="22"/>
                <w:szCs w:val="22"/>
              </w:rPr>
              <w:t>uočava uzročno-posljedične veze</w:t>
            </w:r>
            <w:r w:rsidRPr="006C04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0485">
              <w:rPr>
                <w:rFonts w:asciiTheme="minorHAnsi" w:hAnsiTheme="minorHAnsi" w:cstheme="minorHAnsi"/>
                <w:sz w:val="22"/>
                <w:szCs w:val="22"/>
              </w:rPr>
              <w:t>i procese.</w:t>
            </w:r>
          </w:p>
          <w:p w14:paraId="7C6517BB" w14:textId="5AA3A819" w:rsidR="00404CCE" w:rsidRPr="00D37706" w:rsidRDefault="000E767F" w:rsidP="00B8141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4"/>
              </w:rPr>
            </w:pPr>
            <w:r w:rsidRPr="00DA2558">
              <w:rPr>
                <w:rFonts w:asciiTheme="minorHAnsi" w:hAnsiTheme="minorHAnsi" w:cstheme="minorHAnsi"/>
                <w:b/>
                <w:sz w:val="22"/>
              </w:rPr>
              <w:t>Pisane provjere – postotak: 90% - 100%</w:t>
            </w:r>
            <w:r w:rsidR="00404CCE" w:rsidRPr="00D3770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</w:tbl>
    <w:p w14:paraId="14C8A681" w14:textId="77777777" w:rsidR="00404CCE" w:rsidRPr="00D65704" w:rsidRDefault="00404CCE" w:rsidP="00B81412">
      <w:pPr>
        <w:rPr>
          <w:rFonts w:ascii="Barlow SK" w:hAnsi="Barlow SK"/>
          <w:b/>
        </w:rPr>
      </w:pPr>
    </w:p>
    <w:sectPr w:rsidR="00404CCE" w:rsidRPr="00D65704" w:rsidSect="00D64F71">
      <w:pgSz w:w="11906" w:h="16838"/>
      <w:pgMar w:top="834" w:right="180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Barlow SK">
    <w:altName w:val="Arial"/>
    <w:panose1 w:val="020B0604020202020204"/>
    <w:charset w:val="00"/>
    <w:family w:val="modern"/>
    <w:notTrueType/>
    <w:pitch w:val="variable"/>
    <w:sig w:usb0="A00000EF" w:usb1="0000205B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88D"/>
    <w:multiLevelType w:val="hybridMultilevel"/>
    <w:tmpl w:val="02A6EB1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42D7"/>
    <w:multiLevelType w:val="hybridMultilevel"/>
    <w:tmpl w:val="04884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B736E"/>
    <w:multiLevelType w:val="hybridMultilevel"/>
    <w:tmpl w:val="27CAE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2432"/>
    <w:multiLevelType w:val="hybridMultilevel"/>
    <w:tmpl w:val="7E840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69134F"/>
    <w:multiLevelType w:val="hybridMultilevel"/>
    <w:tmpl w:val="ECA88B62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F66"/>
    <w:multiLevelType w:val="hybridMultilevel"/>
    <w:tmpl w:val="913880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0A06"/>
    <w:multiLevelType w:val="hybridMultilevel"/>
    <w:tmpl w:val="82765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B54ED"/>
    <w:multiLevelType w:val="hybridMultilevel"/>
    <w:tmpl w:val="C4C8B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2822"/>
    <w:multiLevelType w:val="hybridMultilevel"/>
    <w:tmpl w:val="C652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35B"/>
    <w:multiLevelType w:val="hybridMultilevel"/>
    <w:tmpl w:val="C4C09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06C64"/>
    <w:multiLevelType w:val="hybridMultilevel"/>
    <w:tmpl w:val="0EC265E4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87BD8"/>
    <w:multiLevelType w:val="hybridMultilevel"/>
    <w:tmpl w:val="C3369214"/>
    <w:lvl w:ilvl="0" w:tplc="729A0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DC7643"/>
    <w:multiLevelType w:val="hybridMultilevel"/>
    <w:tmpl w:val="7CC2965E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47979"/>
    <w:multiLevelType w:val="hybridMultilevel"/>
    <w:tmpl w:val="F9782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064D"/>
    <w:multiLevelType w:val="hybridMultilevel"/>
    <w:tmpl w:val="F4B0B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8574F"/>
    <w:multiLevelType w:val="hybridMultilevel"/>
    <w:tmpl w:val="5E72D1E8"/>
    <w:lvl w:ilvl="0" w:tplc="729A0AA2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F36EA"/>
    <w:multiLevelType w:val="hybridMultilevel"/>
    <w:tmpl w:val="C25CF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40204"/>
    <w:multiLevelType w:val="hybridMultilevel"/>
    <w:tmpl w:val="29CE5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9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4"/>
  </w:num>
  <w:num w:numId="15">
    <w:abstractNumId w:val="13"/>
  </w:num>
  <w:num w:numId="16">
    <w:abstractNumId w:val="6"/>
  </w:num>
  <w:num w:numId="17">
    <w:abstractNumId w:val="0"/>
  </w:num>
  <w:num w:numId="18">
    <w:abstractNumId w:val="5"/>
  </w:num>
  <w:num w:numId="19">
    <w:abstractNumId w:val="1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CE"/>
    <w:rsid w:val="00040605"/>
    <w:rsid w:val="00041BF0"/>
    <w:rsid w:val="000D6CDD"/>
    <w:rsid w:val="000E767F"/>
    <w:rsid w:val="00137436"/>
    <w:rsid w:val="00144C44"/>
    <w:rsid w:val="001C3737"/>
    <w:rsid w:val="001D50A1"/>
    <w:rsid w:val="00255698"/>
    <w:rsid w:val="00271541"/>
    <w:rsid w:val="002721DD"/>
    <w:rsid w:val="00273C0B"/>
    <w:rsid w:val="003104DF"/>
    <w:rsid w:val="00315A00"/>
    <w:rsid w:val="003916C0"/>
    <w:rsid w:val="003B6685"/>
    <w:rsid w:val="003E6CCA"/>
    <w:rsid w:val="00404CCE"/>
    <w:rsid w:val="004201E3"/>
    <w:rsid w:val="0042492E"/>
    <w:rsid w:val="00433498"/>
    <w:rsid w:val="004A001C"/>
    <w:rsid w:val="004E52B6"/>
    <w:rsid w:val="00500810"/>
    <w:rsid w:val="00510D38"/>
    <w:rsid w:val="00531668"/>
    <w:rsid w:val="005A637D"/>
    <w:rsid w:val="005B2265"/>
    <w:rsid w:val="00663EEE"/>
    <w:rsid w:val="006864CC"/>
    <w:rsid w:val="006A6BC7"/>
    <w:rsid w:val="006C0485"/>
    <w:rsid w:val="006F25CD"/>
    <w:rsid w:val="00721E79"/>
    <w:rsid w:val="007B30D0"/>
    <w:rsid w:val="007C148A"/>
    <w:rsid w:val="0080153D"/>
    <w:rsid w:val="0087244F"/>
    <w:rsid w:val="00887C4E"/>
    <w:rsid w:val="00891D8C"/>
    <w:rsid w:val="008B0AFC"/>
    <w:rsid w:val="008D4982"/>
    <w:rsid w:val="008E3A51"/>
    <w:rsid w:val="00936B91"/>
    <w:rsid w:val="009662F2"/>
    <w:rsid w:val="00A16C9B"/>
    <w:rsid w:val="00A41185"/>
    <w:rsid w:val="00A8456A"/>
    <w:rsid w:val="00A95593"/>
    <w:rsid w:val="00AD691E"/>
    <w:rsid w:val="00B035B1"/>
    <w:rsid w:val="00B51798"/>
    <w:rsid w:val="00B81412"/>
    <w:rsid w:val="00BA5CEE"/>
    <w:rsid w:val="00BF2361"/>
    <w:rsid w:val="00C22D28"/>
    <w:rsid w:val="00D37706"/>
    <w:rsid w:val="00D37A4E"/>
    <w:rsid w:val="00D64F71"/>
    <w:rsid w:val="00D72ECB"/>
    <w:rsid w:val="00D91A79"/>
    <w:rsid w:val="00DA2558"/>
    <w:rsid w:val="00DA3709"/>
    <w:rsid w:val="00E24E11"/>
    <w:rsid w:val="00F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D49F"/>
  <w15:docId w15:val="{6B41F5EF-ECFD-46E2-BF97-9A89D65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4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CCE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CCE"/>
    <w:pPr>
      <w:keepNext/>
      <w:keepLines/>
      <w:spacing w:before="480"/>
      <w:outlineLvl w:val="0"/>
    </w:pPr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201E3"/>
  </w:style>
  <w:style w:type="paragraph" w:styleId="ListParagraph">
    <w:name w:val="List Paragraph"/>
    <w:basedOn w:val="Normal"/>
    <w:uiPriority w:val="34"/>
    <w:qFormat/>
    <w:rsid w:val="004201E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4201E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201E3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404CCE"/>
    <w:rPr>
      <w:rFonts w:ascii="Barlow SK" w:eastAsiaTheme="majorEastAsia" w:hAnsi="Barlow SK" w:cstheme="majorBidi"/>
      <w:b/>
      <w:bCs/>
      <w:color w:val="C00000"/>
      <w:sz w:val="32"/>
      <w:szCs w:val="28"/>
    </w:rPr>
  </w:style>
  <w:style w:type="character" w:customStyle="1" w:styleId="normaltextrun">
    <w:name w:val="normaltextrun"/>
    <w:basedOn w:val="DefaultParagraphFont"/>
    <w:rsid w:val="00404CCE"/>
  </w:style>
  <w:style w:type="table" w:styleId="TableGrid">
    <w:name w:val="Table Grid"/>
    <w:basedOn w:val="TableNormal"/>
    <w:rsid w:val="00404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1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3D"/>
    <w:rPr>
      <w:rFonts w:ascii="Segoe UI" w:hAnsi="Segoe UI" w:cs="Segoe UI"/>
      <w:sz w:val="18"/>
      <w:szCs w:val="18"/>
    </w:rPr>
  </w:style>
  <w:style w:type="paragraph" w:customStyle="1" w:styleId="box459587">
    <w:name w:val="box_459587"/>
    <w:basedOn w:val="Normal"/>
    <w:rsid w:val="001C37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1483</Words>
  <Characters>8457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Jelena Urošević-Hušak</cp:lastModifiedBy>
  <cp:revision>5</cp:revision>
  <dcterms:created xsi:type="dcterms:W3CDTF">2020-10-24T20:40:00Z</dcterms:created>
  <dcterms:modified xsi:type="dcterms:W3CDTF">2021-02-10T17:31:00Z</dcterms:modified>
</cp:coreProperties>
</file>